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widowControl w:val="0"/>
        <w:shd w:val="clear" w:color="auto" w:fill="auto"/>
        <w:bidi w:val="0"/>
        <w:spacing w:before="0" w:after="500" w:line="240" w:lineRule="auto"/>
        <w:ind w:left="0" w:right="0" w:firstLine="0"/>
        <w:jc w:val="center"/>
        <w:rPr>
          <w:rFonts w:hint="eastAsia"/>
          <w:b/>
          <w:bCs/>
          <w:color w:val="000000"/>
          <w:spacing w:val="0"/>
          <w:w w:val="100"/>
          <w:position w:val="0"/>
          <w:sz w:val="32"/>
          <w:szCs w:val="32"/>
          <w:lang w:val="en-US" w:eastAsia="zh-CN"/>
        </w:rPr>
      </w:pPr>
      <w:bookmarkStart w:id="0" w:name="bookmark5"/>
      <w:bookmarkStart w:id="1" w:name="bookmark4"/>
      <w:bookmarkStart w:id="2" w:name="bookmark3"/>
    </w:p>
    <w:p>
      <w:pPr>
        <w:pStyle w:val="4"/>
        <w:keepNext/>
        <w:keepLines/>
        <w:widowControl w:val="0"/>
        <w:shd w:val="clear" w:color="auto" w:fill="auto"/>
        <w:bidi w:val="0"/>
        <w:spacing w:before="0" w:after="500" w:line="240" w:lineRule="auto"/>
        <w:ind w:left="0" w:right="0" w:firstLine="0"/>
        <w:jc w:val="center"/>
        <w:rPr>
          <w:rFonts w:hint="eastAsia"/>
          <w:b/>
          <w:bCs/>
          <w:color w:val="000000"/>
          <w:spacing w:val="0"/>
          <w:w w:val="100"/>
          <w:position w:val="0"/>
          <w:sz w:val="32"/>
          <w:szCs w:val="32"/>
          <w:lang w:val="en-US" w:eastAsia="zh-CN"/>
        </w:rPr>
      </w:pPr>
    </w:p>
    <w:p>
      <w:pPr>
        <w:pStyle w:val="4"/>
        <w:keepNext/>
        <w:keepLines/>
        <w:widowControl w:val="0"/>
        <w:shd w:val="clear" w:color="auto" w:fill="auto"/>
        <w:bidi w:val="0"/>
        <w:spacing w:before="0" w:after="500" w:line="240" w:lineRule="auto"/>
        <w:ind w:left="0" w:right="0" w:firstLine="0"/>
        <w:jc w:val="center"/>
        <w:rPr>
          <w:rFonts w:hint="eastAsia"/>
          <w:b/>
          <w:bCs/>
          <w:color w:val="000000"/>
          <w:spacing w:val="0"/>
          <w:w w:val="100"/>
          <w:position w:val="0"/>
          <w:sz w:val="44"/>
          <w:szCs w:val="44"/>
          <w:lang w:val="en-US" w:eastAsia="zh-CN"/>
        </w:rPr>
      </w:pPr>
      <w:r>
        <w:rPr>
          <w:rFonts w:hint="eastAsia"/>
          <w:b/>
          <w:bCs/>
          <w:color w:val="000000"/>
          <w:spacing w:val="0"/>
          <w:w w:val="100"/>
          <w:position w:val="0"/>
          <w:sz w:val="44"/>
          <w:szCs w:val="44"/>
          <w:lang w:val="en-US" w:eastAsia="zh-CN"/>
        </w:rPr>
        <w:t>湖州师范学院中层领导干部履行经济职责</w:t>
      </w:r>
    </w:p>
    <w:p>
      <w:pPr>
        <w:pStyle w:val="4"/>
        <w:keepNext/>
        <w:keepLines/>
        <w:widowControl w:val="0"/>
        <w:shd w:val="clear" w:color="auto" w:fill="auto"/>
        <w:bidi w:val="0"/>
        <w:spacing w:before="0" w:after="500" w:line="240" w:lineRule="auto"/>
        <w:ind w:left="0" w:right="0" w:firstLine="0"/>
        <w:jc w:val="center"/>
        <w:rPr>
          <w:b/>
          <w:bCs/>
          <w:color w:val="000000"/>
          <w:spacing w:val="0"/>
          <w:w w:val="100"/>
          <w:position w:val="0"/>
          <w:sz w:val="44"/>
          <w:szCs w:val="44"/>
        </w:rPr>
      </w:pPr>
      <w:r>
        <w:rPr>
          <w:rFonts w:hint="eastAsia"/>
          <w:b/>
          <w:bCs/>
          <w:color w:val="000000"/>
          <w:spacing w:val="0"/>
          <w:w w:val="100"/>
          <w:position w:val="0"/>
          <w:sz w:val="44"/>
          <w:szCs w:val="44"/>
          <w:lang w:val="en-US" w:eastAsia="zh-CN"/>
        </w:rPr>
        <w:t>风险防范</w:t>
      </w:r>
      <w:r>
        <w:rPr>
          <w:b/>
          <w:bCs/>
          <w:color w:val="000000"/>
          <w:spacing w:val="0"/>
          <w:w w:val="100"/>
          <w:position w:val="0"/>
          <w:sz w:val="44"/>
          <w:szCs w:val="44"/>
        </w:rPr>
        <w:t>清单</w:t>
      </w:r>
    </w:p>
    <w:p>
      <w:pPr>
        <w:pStyle w:val="4"/>
        <w:keepNext/>
        <w:keepLines/>
        <w:widowControl w:val="0"/>
        <w:shd w:val="clear" w:color="auto" w:fill="auto"/>
        <w:bidi w:val="0"/>
        <w:spacing w:before="0" w:after="500" w:line="240" w:lineRule="auto"/>
        <w:ind w:left="0" w:right="0" w:firstLine="0"/>
        <w:jc w:val="center"/>
        <w:rPr>
          <w:b/>
          <w:bCs/>
          <w:color w:val="000000"/>
          <w:spacing w:val="0"/>
          <w:w w:val="100"/>
          <w:position w:val="0"/>
          <w:sz w:val="32"/>
          <w:szCs w:val="32"/>
        </w:rPr>
      </w:pPr>
    </w:p>
    <w:p>
      <w:pPr>
        <w:pStyle w:val="4"/>
        <w:keepNext/>
        <w:keepLines/>
        <w:widowControl w:val="0"/>
        <w:shd w:val="clear" w:color="auto" w:fill="auto"/>
        <w:bidi w:val="0"/>
        <w:spacing w:before="0" w:after="500" w:line="240" w:lineRule="auto"/>
        <w:ind w:left="0" w:right="0" w:firstLine="0"/>
        <w:jc w:val="center"/>
        <w:rPr>
          <w:b/>
          <w:bCs/>
          <w:color w:val="000000"/>
          <w:spacing w:val="0"/>
          <w:w w:val="100"/>
          <w:position w:val="0"/>
          <w:sz w:val="32"/>
          <w:szCs w:val="32"/>
        </w:rPr>
      </w:pPr>
    </w:p>
    <w:p>
      <w:pPr>
        <w:pStyle w:val="4"/>
        <w:keepNext/>
        <w:keepLines/>
        <w:widowControl w:val="0"/>
        <w:shd w:val="clear" w:color="auto" w:fill="auto"/>
        <w:bidi w:val="0"/>
        <w:spacing w:before="0" w:after="500" w:line="240" w:lineRule="auto"/>
        <w:ind w:left="0" w:right="0" w:firstLine="0"/>
        <w:jc w:val="center"/>
        <w:rPr>
          <w:b/>
          <w:bCs/>
          <w:color w:val="000000"/>
          <w:spacing w:val="0"/>
          <w:w w:val="100"/>
          <w:position w:val="0"/>
          <w:sz w:val="32"/>
          <w:szCs w:val="32"/>
        </w:rPr>
      </w:pPr>
    </w:p>
    <w:p>
      <w:pPr>
        <w:pStyle w:val="4"/>
        <w:keepNext/>
        <w:keepLines/>
        <w:widowControl w:val="0"/>
        <w:shd w:val="clear" w:color="auto" w:fill="auto"/>
        <w:bidi w:val="0"/>
        <w:spacing w:before="0" w:after="500" w:line="240" w:lineRule="auto"/>
        <w:ind w:left="0" w:right="0" w:firstLine="0"/>
        <w:jc w:val="center"/>
        <w:rPr>
          <w:b/>
          <w:bCs/>
          <w:color w:val="000000"/>
          <w:spacing w:val="0"/>
          <w:w w:val="100"/>
          <w:position w:val="0"/>
          <w:sz w:val="32"/>
          <w:szCs w:val="32"/>
        </w:rPr>
      </w:pPr>
    </w:p>
    <w:p>
      <w:pPr>
        <w:pStyle w:val="4"/>
        <w:keepNext/>
        <w:keepLines/>
        <w:widowControl w:val="0"/>
        <w:shd w:val="clear" w:color="auto" w:fill="auto"/>
        <w:bidi w:val="0"/>
        <w:spacing w:before="0" w:after="500" w:line="240" w:lineRule="auto"/>
        <w:ind w:left="0" w:right="0" w:firstLine="0"/>
        <w:jc w:val="center"/>
        <w:rPr>
          <w:rFonts w:hint="eastAsia"/>
          <w:b/>
          <w:bCs/>
          <w:color w:val="000000"/>
          <w:spacing w:val="0"/>
          <w:w w:val="100"/>
          <w:position w:val="0"/>
          <w:sz w:val="36"/>
          <w:szCs w:val="36"/>
          <w:lang w:val="en-US" w:eastAsia="zh-CN"/>
        </w:rPr>
      </w:pPr>
      <w:r>
        <w:rPr>
          <w:rFonts w:hint="eastAsia"/>
          <w:b/>
          <w:bCs/>
          <w:color w:val="000000"/>
          <w:spacing w:val="0"/>
          <w:w w:val="100"/>
          <w:position w:val="0"/>
          <w:sz w:val="36"/>
          <w:szCs w:val="36"/>
          <w:lang w:val="en-US" w:eastAsia="zh-CN"/>
        </w:rPr>
        <w:t>审计处</w:t>
      </w:r>
    </w:p>
    <w:p>
      <w:pPr>
        <w:pStyle w:val="4"/>
        <w:keepNext/>
        <w:keepLines/>
        <w:widowControl w:val="0"/>
        <w:shd w:val="clear" w:color="auto" w:fill="auto"/>
        <w:bidi w:val="0"/>
        <w:spacing w:before="0" w:after="500" w:line="240" w:lineRule="auto"/>
        <w:ind w:left="0" w:right="0" w:firstLine="0"/>
        <w:jc w:val="center"/>
        <w:rPr>
          <w:rFonts w:hint="default"/>
          <w:b/>
          <w:bCs/>
          <w:color w:val="000000"/>
          <w:spacing w:val="0"/>
          <w:w w:val="100"/>
          <w:position w:val="0"/>
          <w:sz w:val="36"/>
          <w:szCs w:val="36"/>
          <w:lang w:val="en-US" w:eastAsia="zh-CN"/>
        </w:rPr>
      </w:pPr>
      <w:r>
        <w:rPr>
          <w:rFonts w:hint="eastAsia"/>
          <w:b/>
          <w:bCs/>
          <w:color w:val="000000"/>
          <w:spacing w:val="0"/>
          <w:w w:val="100"/>
          <w:position w:val="0"/>
          <w:sz w:val="36"/>
          <w:szCs w:val="36"/>
          <w:lang w:val="en-US" w:eastAsia="zh-CN"/>
        </w:rPr>
        <w:t>2021年12月</w:t>
      </w:r>
    </w:p>
    <w:p>
      <w:pPr>
        <w:rPr>
          <w:rFonts w:hint="default"/>
          <w:b/>
          <w:bCs/>
          <w:color w:val="000000"/>
          <w:spacing w:val="0"/>
          <w:w w:val="100"/>
          <w:position w:val="0"/>
          <w:sz w:val="32"/>
          <w:szCs w:val="32"/>
          <w:lang w:val="en-US" w:eastAsia="zh-CN"/>
        </w:rPr>
      </w:pPr>
      <w:r>
        <w:rPr>
          <w:rFonts w:hint="eastAsia"/>
          <w:b/>
          <w:bCs/>
          <w:color w:val="000000"/>
          <w:spacing w:val="0"/>
          <w:w w:val="100"/>
          <w:position w:val="0"/>
          <w:sz w:val="32"/>
          <w:szCs w:val="32"/>
          <w:lang w:val="en-US" w:eastAsia="zh-CN"/>
        </w:rPr>
        <w:br w:type="page"/>
      </w:r>
    </w:p>
    <w:p>
      <w:pPr>
        <w:pStyle w:val="4"/>
        <w:keepNext/>
        <w:keepLines/>
        <w:widowControl w:val="0"/>
        <w:shd w:val="clear" w:color="auto" w:fill="auto"/>
        <w:bidi w:val="0"/>
        <w:spacing w:before="0" w:after="500" w:line="240" w:lineRule="auto"/>
        <w:ind w:left="0" w:right="0" w:firstLine="0"/>
        <w:jc w:val="center"/>
        <w:rPr>
          <w:rFonts w:hint="eastAsia" w:ascii="宋体" w:hAnsi="宋体" w:eastAsia="宋体" w:cs="宋体"/>
          <w:i w:val="0"/>
          <w:iCs w:val="0"/>
          <w:color w:val="000000"/>
          <w:kern w:val="0"/>
          <w:sz w:val="24"/>
          <w:szCs w:val="24"/>
          <w:u w:val="none"/>
          <w:lang w:val="en-US" w:eastAsia="zh-CN" w:bidi="ar"/>
        </w:rPr>
      </w:pPr>
      <w:r>
        <w:rPr>
          <w:rFonts w:hint="eastAsia"/>
          <w:b/>
          <w:bCs/>
          <w:color w:val="000000"/>
          <w:spacing w:val="0"/>
          <w:w w:val="100"/>
          <w:position w:val="0"/>
          <w:sz w:val="32"/>
          <w:szCs w:val="32"/>
          <w:lang w:val="en-US" w:eastAsia="zh-CN"/>
        </w:rPr>
        <w:t xml:space="preserve"> 湖州师范学院中层领导干部履行经济职责风险防范</w:t>
      </w:r>
      <w:r>
        <w:rPr>
          <w:b/>
          <w:bCs/>
          <w:color w:val="000000"/>
          <w:spacing w:val="0"/>
          <w:w w:val="100"/>
          <w:position w:val="0"/>
          <w:sz w:val="32"/>
          <w:szCs w:val="32"/>
        </w:rPr>
        <w:t>清单</w:t>
      </w:r>
      <w:bookmarkEnd w:id="0"/>
      <w:bookmarkEnd w:id="1"/>
      <w:bookmarkEnd w:id="2"/>
    </w:p>
    <w:tbl>
      <w:tblPr>
        <w:tblStyle w:val="2"/>
        <w:tblW w:w="9926" w:type="dxa"/>
        <w:tblInd w:w="-48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83"/>
        <w:gridCol w:w="1867"/>
        <w:gridCol w:w="3217"/>
        <w:gridCol w:w="36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类型</w:t>
            </w:r>
          </w:p>
        </w:tc>
        <w:tc>
          <w:tcPr>
            <w:tcW w:w="18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风险内容</w:t>
            </w:r>
          </w:p>
        </w:tc>
        <w:tc>
          <w:tcPr>
            <w:tcW w:w="32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表现形式</w:t>
            </w:r>
          </w:p>
        </w:tc>
        <w:tc>
          <w:tcPr>
            <w:tcW w:w="3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预防措施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0" w:hRule="atLeast"/>
        </w:trPr>
        <w:tc>
          <w:tcPr>
            <w:tcW w:w="1183" w:type="dxa"/>
            <w:vMerge w:val="restart"/>
            <w:tcBorders>
              <w:top w:val="nil"/>
              <w:left w:val="single" w:color="000000" w:sz="8"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一、重要经济事项决策</w:t>
            </w:r>
          </w:p>
        </w:tc>
        <w:tc>
          <w:tcPr>
            <w:tcW w:w="1867" w:type="dxa"/>
            <w:tcBorders>
              <w:top w:val="nil"/>
              <w:left w:val="single" w:color="000000" w:sz="8" w:space="0"/>
              <w:bottom w:val="nil"/>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1.经济事项决策程序不规范或违规决策</w:t>
            </w:r>
          </w:p>
        </w:tc>
        <w:tc>
          <w:tcPr>
            <w:tcW w:w="3217" w:type="dxa"/>
            <w:tcBorders>
              <w:top w:val="nil"/>
              <w:left w:val="single" w:color="000000" w:sz="8" w:space="0"/>
              <w:bottom w:val="nil"/>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1.重要经济事项（包括建设项目、预算编制、大额资金使用、资产处置、重大采购等）未经集体决策，或未形成会议纪要、记录等；</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2.所作决策违反法规，或超越权限决策。</w:t>
            </w:r>
          </w:p>
        </w:tc>
        <w:tc>
          <w:tcPr>
            <w:tcW w:w="3659" w:type="dxa"/>
            <w:vMerge w:val="restart"/>
            <w:tcBorders>
              <w:top w:val="nil"/>
              <w:left w:val="single" w:color="000000" w:sz="8" w:space="0"/>
              <w:bottom w:val="nil"/>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坚持民主集中制原则，严格落实三重一大等</w:t>
            </w:r>
            <w:bookmarkStart w:id="3" w:name="_GoBack"/>
            <w:bookmarkEnd w:id="3"/>
            <w:r>
              <w:rPr>
                <w:rFonts w:hint="eastAsia" w:ascii="宋体" w:hAnsi="宋体" w:eastAsia="宋体" w:cs="宋体"/>
                <w:i w:val="0"/>
                <w:iCs w:val="0"/>
                <w:color w:val="000000"/>
                <w:kern w:val="0"/>
                <w:sz w:val="24"/>
                <w:szCs w:val="24"/>
                <w:u w:val="none"/>
                <w:lang w:val="en-US" w:eastAsia="zh-CN" w:bidi="ar"/>
              </w:rPr>
              <w:t>制度要求，依法依规、科学决策。对集体研究形成的决策一抓到底。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183" w:type="dxa"/>
            <w:vMerge w:val="continue"/>
            <w:tcBorders>
              <w:top w:val="nil"/>
              <w:left w:val="single" w:color="000000" w:sz="8" w:space="0"/>
              <w:bottom w:val="nil"/>
              <w:right w:val="nil"/>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86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2.经济决策执行不到位</w:t>
            </w:r>
          </w:p>
        </w:tc>
        <w:tc>
          <w:tcPr>
            <w:tcW w:w="321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未按集体决策的要求执行, 或执行措施不到位。</w:t>
            </w:r>
          </w:p>
        </w:tc>
        <w:tc>
          <w:tcPr>
            <w:tcW w:w="3659" w:type="dxa"/>
            <w:vMerge w:val="continue"/>
            <w:tcBorders>
              <w:top w:val="nil"/>
              <w:left w:val="single" w:color="000000" w:sz="8" w:space="0"/>
              <w:bottom w:val="nil"/>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183" w:type="dxa"/>
            <w:vMerge w:val="restart"/>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二、落实中央八项规定及其实施细则</w:t>
            </w:r>
          </w:p>
        </w:tc>
        <w:tc>
          <w:tcPr>
            <w:tcW w:w="1867" w:type="dxa"/>
            <w:vMerge w:val="restart"/>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3.公务接待管理不规范</w:t>
            </w:r>
          </w:p>
        </w:tc>
        <w:tc>
          <w:tcPr>
            <w:tcW w:w="321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公务接待费超标准，部分支出未按规定科目核算。</w:t>
            </w:r>
          </w:p>
        </w:tc>
        <w:tc>
          <w:tcPr>
            <w:tcW w:w="3659"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公务接待费应全部纳入预算管理，严禁超标准接待和转嫁费用。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183" w:type="dxa"/>
            <w:vMerge w:val="continue"/>
            <w:tcBorders>
              <w:top w:val="single" w:color="000000" w:sz="8" w:space="0"/>
              <w:left w:val="single" w:color="000000" w:sz="8" w:space="0"/>
              <w:bottom w:val="nil"/>
              <w:right w:val="nil"/>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867" w:type="dxa"/>
            <w:vMerge w:val="continue"/>
            <w:tcBorders>
              <w:top w:val="single" w:color="000000" w:sz="8" w:space="0"/>
              <w:left w:val="single" w:color="000000" w:sz="8" w:space="0"/>
              <w:bottom w:val="nil"/>
              <w:right w:val="nil"/>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321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公务接待报销无公函、无接待清单或未如实填写；非公务活动纳入公务接待范围。</w:t>
            </w:r>
          </w:p>
        </w:tc>
        <w:tc>
          <w:tcPr>
            <w:tcW w:w="3659"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按照规定填写接待清单，明确接待对象的单位、职务、人数等内容。不接待无公函的公务活动和来访人员。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83" w:type="dxa"/>
            <w:vMerge w:val="continue"/>
            <w:tcBorders>
              <w:top w:val="single" w:color="000000" w:sz="8" w:space="0"/>
              <w:left w:val="single" w:color="000000" w:sz="8" w:space="0"/>
              <w:bottom w:val="nil"/>
              <w:right w:val="nil"/>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867" w:type="dxa"/>
            <w:vMerge w:val="restart"/>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4.公车使用管理不规范</w:t>
            </w:r>
          </w:p>
        </w:tc>
        <w:tc>
          <w:tcPr>
            <w:tcW w:w="321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1.公车运行费超预算；</w:t>
            </w:r>
          </w:p>
        </w:tc>
        <w:tc>
          <w:tcPr>
            <w:tcW w:w="3659" w:type="dxa"/>
            <w:vMerge w:val="restart"/>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严格按公务用车运行维护费预算额度控制支出。规范车辆的运行管理，严格执行统一定点维修、统一办理保险、统一IC卡加油等管理要求。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183" w:type="dxa"/>
            <w:vMerge w:val="continue"/>
            <w:tcBorders>
              <w:top w:val="single" w:color="000000" w:sz="8" w:space="0"/>
              <w:left w:val="single" w:color="000000" w:sz="8" w:space="0"/>
              <w:bottom w:val="nil"/>
              <w:right w:val="nil"/>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867" w:type="dxa"/>
            <w:vMerge w:val="continue"/>
            <w:tcBorders>
              <w:top w:val="single" w:color="000000" w:sz="8" w:space="0"/>
              <w:left w:val="single" w:color="000000" w:sz="8" w:space="0"/>
              <w:bottom w:val="nil"/>
              <w:right w:val="nil"/>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3217" w:type="dxa"/>
            <w:tcBorders>
              <w:top w:val="nil"/>
              <w:left w:val="single" w:color="000000" w:sz="8" w:space="0"/>
              <w:bottom w:val="nil"/>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2.车辆使用管理不严，未建立用车、加油、维修管理台账。</w:t>
            </w:r>
          </w:p>
        </w:tc>
        <w:tc>
          <w:tcPr>
            <w:tcW w:w="3659" w:type="dxa"/>
            <w:vMerge w:val="continue"/>
            <w:tcBorders>
              <w:top w:val="single" w:color="000000" w:sz="8" w:space="0"/>
              <w:left w:val="single" w:color="000000" w:sz="8" w:space="0"/>
              <w:bottom w:val="nil"/>
              <w:right w:val="single" w:color="000000" w:sz="8" w:space="0"/>
            </w:tcBorders>
            <w:shd w:val="clear" w:color="auto" w:fill="FFFFFF"/>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183" w:type="dxa"/>
            <w:vMerge w:val="continue"/>
            <w:tcBorders>
              <w:top w:val="single" w:color="000000" w:sz="8" w:space="0"/>
              <w:left w:val="single" w:color="000000" w:sz="8" w:space="0"/>
              <w:bottom w:val="nil"/>
              <w:right w:val="nil"/>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86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5.违规列支出国（境）经费</w:t>
            </w:r>
          </w:p>
        </w:tc>
        <w:tc>
          <w:tcPr>
            <w:tcW w:w="3217"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无预算、超预算或套取经费列支因公出国（境）费用。</w:t>
            </w:r>
          </w:p>
        </w:tc>
        <w:tc>
          <w:tcPr>
            <w:tcW w:w="36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严格执行预算，按规定履行报批手续。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183" w:type="dxa"/>
            <w:vMerge w:val="continue"/>
            <w:tcBorders>
              <w:top w:val="single" w:color="000000" w:sz="8" w:space="0"/>
              <w:left w:val="single" w:color="000000" w:sz="8" w:space="0"/>
              <w:bottom w:val="nil"/>
              <w:right w:val="nil"/>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8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6.会议费支出管理不规范</w:t>
            </w:r>
          </w:p>
        </w:tc>
        <w:tc>
          <w:tcPr>
            <w:tcW w:w="3217" w:type="dxa"/>
            <w:tcBorders>
              <w:top w:val="nil"/>
              <w:left w:val="nil"/>
              <w:bottom w:val="single" w:color="000000" w:sz="8"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会议费支出超定额标准</w:t>
            </w:r>
          </w:p>
        </w:tc>
        <w:tc>
          <w:tcPr>
            <w:tcW w:w="365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严格会议费预算编制、加强费用控制。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1183" w:type="dxa"/>
            <w:vMerge w:val="continue"/>
            <w:tcBorders>
              <w:top w:val="single" w:color="000000" w:sz="8" w:space="0"/>
              <w:left w:val="single" w:color="000000" w:sz="8" w:space="0"/>
              <w:bottom w:val="nil"/>
              <w:right w:val="nil"/>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3217" w:type="dxa"/>
            <w:tcBorders>
              <w:top w:val="nil"/>
              <w:left w:val="nil"/>
              <w:bottom w:val="single" w:color="000000" w:sz="8"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会议费支出无会议通知、会议签到单等原始单据。</w:t>
            </w:r>
          </w:p>
        </w:tc>
        <w:tc>
          <w:tcPr>
            <w:tcW w:w="365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会议费报销时，按规定提供完整的原始单据（包括会议通知、参会人员签到表，公务卡付款凭据、费用原始明细清单等）。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183" w:type="dxa"/>
            <w:vMerge w:val="continue"/>
            <w:tcBorders>
              <w:top w:val="single" w:color="000000" w:sz="8" w:space="0"/>
              <w:left w:val="single" w:color="000000" w:sz="8" w:space="0"/>
              <w:bottom w:val="nil"/>
              <w:right w:val="nil"/>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3217" w:type="dxa"/>
            <w:tcBorders>
              <w:top w:val="nil"/>
              <w:left w:val="nil"/>
              <w:bottom w:val="single" w:color="auto"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会议费支出列支礼品、食品及其他无关费用等。</w:t>
            </w:r>
          </w:p>
        </w:tc>
        <w:tc>
          <w:tcPr>
            <w:tcW w:w="3659" w:type="dxa"/>
            <w:tcBorders>
              <w:top w:val="nil"/>
              <w:left w:val="single" w:color="000000" w:sz="8" w:space="0"/>
              <w:bottom w:val="single" w:color="auto" w:sz="4"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按照规定的会议费开支范围列支。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183" w:type="dxa"/>
            <w:vMerge w:val="continue"/>
            <w:tcBorders>
              <w:top w:val="single" w:color="000000" w:sz="8" w:space="0"/>
              <w:left w:val="single" w:color="000000" w:sz="8" w:space="0"/>
              <w:bottom w:val="nil"/>
              <w:right w:val="nil"/>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8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7.培训费支出管理不规范</w:t>
            </w:r>
          </w:p>
        </w:tc>
        <w:tc>
          <w:tcPr>
            <w:tcW w:w="3217" w:type="dxa"/>
            <w:tcBorders>
              <w:top w:val="single" w:color="auto" w:sz="4" w:space="0"/>
              <w:left w:val="nil"/>
              <w:bottom w:val="single" w:color="000000" w:sz="8"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培训费支出超定额标准</w:t>
            </w:r>
          </w:p>
        </w:tc>
        <w:tc>
          <w:tcPr>
            <w:tcW w:w="3659" w:type="dxa"/>
            <w:tcBorders>
              <w:top w:val="single" w:color="auto" w:sz="4"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严格培训费预算编制、加强费用控制。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1183" w:type="dxa"/>
            <w:vMerge w:val="continue"/>
            <w:tcBorders>
              <w:top w:val="single" w:color="000000" w:sz="8" w:space="0"/>
              <w:left w:val="single" w:color="000000" w:sz="8" w:space="0"/>
              <w:bottom w:val="nil"/>
              <w:right w:val="nil"/>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3217" w:type="dxa"/>
            <w:tcBorders>
              <w:top w:val="nil"/>
              <w:left w:val="nil"/>
              <w:bottom w:val="single" w:color="000000" w:sz="8"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培训费支出无培训通知、参训人员签到单等原始单据。</w:t>
            </w:r>
          </w:p>
        </w:tc>
        <w:tc>
          <w:tcPr>
            <w:tcW w:w="365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培训费报销时，按规定提供完整的原始单据（包括培训通知、参训人员签到表，公务卡付款凭据、费用原始明细清单等）。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183" w:type="dxa"/>
            <w:vMerge w:val="continue"/>
            <w:tcBorders>
              <w:top w:val="single" w:color="000000" w:sz="8" w:space="0"/>
              <w:left w:val="single" w:color="000000" w:sz="8" w:space="0"/>
              <w:bottom w:val="nil"/>
              <w:right w:val="nil"/>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3217" w:type="dxa"/>
            <w:tcBorders>
              <w:top w:val="nil"/>
              <w:left w:val="nil"/>
              <w:bottom w:val="single" w:color="000000" w:sz="8"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培训费支出列支礼品、食品及其他无关费用等。</w:t>
            </w:r>
          </w:p>
        </w:tc>
        <w:tc>
          <w:tcPr>
            <w:tcW w:w="365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按照规定的培训费开支范围列支。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11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三、预算和财务管理</w:t>
            </w:r>
          </w:p>
        </w:tc>
        <w:tc>
          <w:tcPr>
            <w:tcW w:w="1867" w:type="dxa"/>
            <w:tcBorders>
              <w:top w:val="nil"/>
              <w:left w:val="nil"/>
              <w:bottom w:val="nil"/>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8.预算编制和执行不规范</w:t>
            </w:r>
          </w:p>
        </w:tc>
        <w:tc>
          <w:tcPr>
            <w:tcW w:w="321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1.预算编制不完整，部分收支及结余款未纳入预决算管理；</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2.支出未严格按预算执行，超预算列支经费；</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3.预算资金滞留，执行进度缓慢。</w:t>
            </w:r>
          </w:p>
        </w:tc>
        <w:tc>
          <w:tcPr>
            <w:tcW w:w="3659"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提高预算编制的科学性和预算执行的严肃性，严格按预算规定的支出用途、范围和标准使用资金，提高预算执行率。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867" w:type="dxa"/>
            <w:tcBorders>
              <w:top w:val="single" w:color="000000" w:sz="8" w:space="0"/>
              <w:left w:val="nil"/>
              <w:bottom w:val="nil"/>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9.执收不严</w:t>
            </w:r>
          </w:p>
        </w:tc>
        <w:tc>
          <w:tcPr>
            <w:tcW w:w="321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收费收入、资产收入等收入未及时收取或违规减免收入，未按标准足额收取，收入未足额上缴。</w:t>
            </w:r>
          </w:p>
        </w:tc>
        <w:tc>
          <w:tcPr>
            <w:tcW w:w="3659"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严格执行相关规定，严禁擅自减免，收入到账后及时足额上缴。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867" w:type="dxa"/>
            <w:tcBorders>
              <w:top w:val="single" w:color="000000" w:sz="8" w:space="0"/>
              <w:left w:val="nil"/>
              <w:bottom w:val="nil"/>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10.收支体外循环</w:t>
            </w:r>
          </w:p>
        </w:tc>
        <w:tc>
          <w:tcPr>
            <w:tcW w:w="321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1.收入不入单位账或虚列支出 等方式将资金转到账外，违规设置并存续小金库；</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2.转移收入，将单位收入存入食堂账户、其他账户等。</w:t>
            </w:r>
          </w:p>
        </w:tc>
        <w:tc>
          <w:tcPr>
            <w:tcW w:w="3659" w:type="dxa"/>
            <w:vMerge w:val="restart"/>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加强财务管理，提高财务人员专业水平，完善并严格执行内部控制制度，单位收支均按规定入账核算。加强往来款项的清理，监管应收款项，对确实无法收回的款项履行报批手续进行处置。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867" w:type="dxa"/>
            <w:tcBorders>
              <w:top w:val="single" w:color="000000" w:sz="8" w:space="0"/>
              <w:left w:val="nil"/>
              <w:bottom w:val="nil"/>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11.财务管理不规范</w:t>
            </w:r>
          </w:p>
        </w:tc>
        <w:tc>
          <w:tcPr>
            <w:tcW w:w="321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1.报表未能反映财务全貌；</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2.往来款长期挂账未清理；</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3659" w:type="dxa"/>
            <w:vMerge w:val="continue"/>
            <w:tcBorders>
              <w:top w:val="single" w:color="000000" w:sz="8" w:space="0"/>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8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12.不按规定使用“公务卡”结算</w:t>
            </w:r>
          </w:p>
        </w:tc>
        <w:tc>
          <w:tcPr>
            <w:tcW w:w="32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未按公务卡强制结算目录使用公务卡结算公务支出。</w:t>
            </w:r>
          </w:p>
        </w:tc>
        <w:tc>
          <w:tcPr>
            <w:tcW w:w="365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严格按照“公务卡强制结算目录”使用公务卡。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867" w:type="dxa"/>
            <w:tcBorders>
              <w:top w:val="single" w:color="000000" w:sz="8" w:space="0"/>
              <w:left w:val="nil"/>
              <w:bottom w:val="single" w:color="auto" w:sz="4" w:space="0"/>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13.支出依据不规范</w:t>
            </w:r>
          </w:p>
        </w:tc>
        <w:tc>
          <w:tcPr>
            <w:tcW w:w="3217" w:type="dxa"/>
            <w:tcBorders>
              <w:top w:val="single" w:color="000000" w:sz="8" w:space="0"/>
              <w:left w:val="single" w:color="000000" w:sz="8" w:space="0"/>
              <w:bottom w:val="single" w:color="auto" w:sz="4" w:space="0"/>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虚列业务列支费用；以收款收据，虚假发票等不合规票据作为支付依据报销或报销凭据不完整。</w:t>
            </w:r>
          </w:p>
        </w:tc>
        <w:tc>
          <w:tcPr>
            <w:tcW w:w="3659" w:type="dxa"/>
            <w:tcBorders>
              <w:top w:val="single" w:color="000000" w:sz="8" w:space="0"/>
              <w:left w:val="single" w:color="000000" w:sz="8" w:space="0"/>
              <w:bottom w:val="single" w:color="auto" w:sz="4"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加强对业务真实性、原始凭证报销的审核把关，严禁违规报销。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0"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867" w:type="dxa"/>
            <w:tcBorders>
              <w:top w:val="single" w:color="auto" w:sz="4" w:space="0"/>
              <w:left w:val="nil"/>
              <w:bottom w:val="nil"/>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14.专项资金管理和使用不规范</w:t>
            </w:r>
          </w:p>
        </w:tc>
        <w:tc>
          <w:tcPr>
            <w:tcW w:w="3217" w:type="dxa"/>
            <w:tcBorders>
              <w:top w:val="single" w:color="auto" w:sz="4" w:space="0"/>
              <w:left w:val="single" w:color="000000" w:sz="8" w:space="0"/>
              <w:bottom w:val="nil"/>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1.专项资金申报立项不规范；</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2.未按规定的范围使用专项资金，人员经费或公用经费等基本支出挤占专项经费，预算执行率低，缺乏后续监管。</w:t>
            </w:r>
          </w:p>
        </w:tc>
        <w:tc>
          <w:tcPr>
            <w:tcW w:w="3659" w:type="dxa"/>
            <w:tcBorders>
              <w:top w:val="single" w:color="auto" w:sz="4" w:space="0"/>
              <w:left w:val="single" w:color="000000" w:sz="8" w:space="0"/>
              <w:bottom w:val="nil"/>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不得自行扩大支出范围提高开支标准；实施项目全过程绩效管理，加强对绩效目标的完成情况、实施进程和支出执行进度的跟踪管理。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867" w:type="dxa"/>
            <w:tcBorders>
              <w:top w:val="single" w:color="000000" w:sz="8" w:space="0"/>
              <w:left w:val="nil"/>
              <w:bottom w:val="single" w:color="000000" w:sz="8" w:space="0"/>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15.公款竞争性存放制度执行不到位</w:t>
            </w:r>
          </w:p>
        </w:tc>
        <w:tc>
          <w:tcPr>
            <w:tcW w:w="3217"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1.未开展公款竞争性存放；</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2.部分定期存款反复转存未办理公款竞争性存放；</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3.低于协议约定利率存放。</w:t>
            </w:r>
          </w:p>
        </w:tc>
        <w:tc>
          <w:tcPr>
            <w:tcW w:w="36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严格执行公款竞争性存放的相关规定。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183" w:type="dxa"/>
            <w:vMerge w:val="restart"/>
            <w:tcBorders>
              <w:top w:val="nil"/>
              <w:left w:val="single" w:color="000000" w:sz="8"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四、采购及资产管理</w:t>
            </w:r>
          </w:p>
        </w:tc>
        <w:tc>
          <w:tcPr>
            <w:tcW w:w="1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16.政府采购管理不规范</w:t>
            </w:r>
          </w:p>
        </w:tc>
        <w:tc>
          <w:tcPr>
            <w:tcW w:w="32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1.未经政府采购程序审批，自行采购货物和服务；</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2.应公开招标的政府采购项目未公开招标，应以整体招标的采购项目拆分招标。</w:t>
            </w:r>
          </w:p>
        </w:tc>
        <w:tc>
          <w:tcPr>
            <w:tcW w:w="36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对列入政府采购目录的项目严格实行政府采购；对预算金额达到限额标准的，除法律法规另有规定外，采用公开招标方式采购。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183" w:type="dxa"/>
            <w:vMerge w:val="continue"/>
            <w:tcBorders>
              <w:top w:val="nil"/>
              <w:left w:val="single" w:color="000000" w:sz="8" w:space="0"/>
              <w:bottom w:val="nil"/>
              <w:right w:val="nil"/>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17.采购购买主体对合同及验收管理不到位</w:t>
            </w:r>
          </w:p>
        </w:tc>
        <w:tc>
          <w:tcPr>
            <w:tcW w:w="32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未签订正式合同，合同主要条款与招标文件不一致；未按照合同采购项目进行严格验收。</w:t>
            </w:r>
          </w:p>
        </w:tc>
        <w:tc>
          <w:tcPr>
            <w:tcW w:w="36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严格执行合同管理办法。规范验收程序，按照合同内容开展项目验收，确保程序到位，资料齐全，未经验收项目不得支付全款。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0" w:hRule="atLeast"/>
        </w:trPr>
        <w:tc>
          <w:tcPr>
            <w:tcW w:w="1183" w:type="dxa"/>
            <w:vMerge w:val="continue"/>
            <w:tcBorders>
              <w:top w:val="nil"/>
              <w:left w:val="single" w:color="000000" w:sz="8" w:space="0"/>
              <w:bottom w:val="nil"/>
              <w:right w:val="nil"/>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8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18.资产管理不规范</w:t>
            </w:r>
          </w:p>
        </w:tc>
        <w:tc>
          <w:tcPr>
            <w:tcW w:w="32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1.资产账实不符、账账不符，存在未及时入账和核销的情况；</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2.未按规定对资产进行清查盘点；</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3.行政办公家具购置超过规定标准。</w:t>
            </w:r>
          </w:p>
        </w:tc>
        <w:tc>
          <w:tcPr>
            <w:tcW w:w="36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按规定建立资产总账、明细账和台账，做好资产登记管理；对资产的增减变化及时做好账务处理；定期开展资产清查盘点工作。行政办公家具配置严格按照标准执行。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1183" w:type="dxa"/>
            <w:vMerge w:val="continue"/>
            <w:tcBorders>
              <w:top w:val="nil"/>
              <w:left w:val="single" w:color="000000" w:sz="8" w:space="0"/>
              <w:bottom w:val="nil"/>
              <w:right w:val="nil"/>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86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19.资产出租不规范</w:t>
            </w:r>
          </w:p>
        </w:tc>
        <w:tc>
          <w:tcPr>
            <w:tcW w:w="321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1.资产出租管理缺失、内控不严，未对拟出租资产的租赁价或使用费进行评估，未按照市财政行政事业单位国有资产出租出借管理办法审批或备案的；2.出租收入未纳入财政专户管理。</w:t>
            </w:r>
          </w:p>
        </w:tc>
        <w:tc>
          <w:tcPr>
            <w:tcW w:w="3659"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应当委托有资质的资产评估机构对拟出租资产的租赁价或使用费进行评估，并将评估备案申请表和评估报告报市财政局备案。资产出租应以评估价格作为底价，采用拍卖、招投标等方式进行。资产出租收益，按照政府非税收入等有关规定，统一上缴国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183" w:type="dxa"/>
            <w:tcBorders>
              <w:top w:val="nil"/>
              <w:left w:val="single" w:color="000000" w:sz="8" w:space="0"/>
              <w:bottom w:val="nil"/>
              <w:right w:val="nil"/>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86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20.资产处置不合规</w:t>
            </w:r>
          </w:p>
        </w:tc>
        <w:tc>
          <w:tcPr>
            <w:tcW w:w="321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资产出售、报废等处置未按照市财政行政事业单位国有资产处置管理办法审批或备案的，低于评估价出售等。</w:t>
            </w:r>
          </w:p>
        </w:tc>
        <w:tc>
          <w:tcPr>
            <w:tcW w:w="3659"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严格按照资产处置有关规定执行，避免损失。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183" w:type="dxa"/>
            <w:vMerge w:val="restart"/>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五、基建、修缮工程</w:t>
            </w:r>
          </w:p>
        </w:tc>
        <w:tc>
          <w:tcPr>
            <w:tcW w:w="1867"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21.项目立项审批不规范</w:t>
            </w:r>
          </w:p>
        </w:tc>
        <w:tc>
          <w:tcPr>
            <w:tcW w:w="3217"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基建、修缮项目立项程序不规范或未立项审批进行建设。</w:t>
            </w:r>
          </w:p>
        </w:tc>
        <w:tc>
          <w:tcPr>
            <w:tcW w:w="36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项目建设严格按照规定履行报批手续。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1183" w:type="dxa"/>
            <w:vMerge w:val="continue"/>
            <w:tcBorders>
              <w:top w:val="single" w:color="000000" w:sz="8" w:space="0"/>
              <w:left w:val="single" w:color="000000" w:sz="8" w:space="0"/>
              <w:bottom w:val="nil"/>
              <w:right w:val="nil"/>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86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22.项目招标管理不规范</w:t>
            </w:r>
          </w:p>
        </w:tc>
        <w:tc>
          <w:tcPr>
            <w:tcW w:w="321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1.应当招标的未招标；应公开招标的未公开招标，采取直接发包或邀请招标方式等；</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2.将工程项目拆分成多个标段发包；</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3.将零星工程发包给不具备相应资质的单位；</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4.将不具备资格预审条件的工程项目，违规实行资格预审，限制、排斥潜在投标人等；</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5.签订中标合同时，变更招标文件相应条款。</w:t>
            </w:r>
          </w:p>
        </w:tc>
        <w:tc>
          <w:tcPr>
            <w:tcW w:w="3659"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严格执行招投标相关法律法规， 杜绝不按照规定招标或者以其他方式规避招标的行为，并确保招标过程公开、公正、公平。按照招标文件要求订立合同并严格执行。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183" w:type="dxa"/>
            <w:vMerge w:val="continue"/>
            <w:tcBorders>
              <w:top w:val="single" w:color="000000" w:sz="8" w:space="0"/>
              <w:left w:val="single" w:color="000000" w:sz="8" w:space="0"/>
              <w:bottom w:val="nil"/>
              <w:right w:val="nil"/>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86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23.在工程变更、质量管理、费用结算等方面管理不到位</w:t>
            </w:r>
          </w:p>
        </w:tc>
        <w:tc>
          <w:tcPr>
            <w:tcW w:w="321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工程造价超概算；工程施工变更不办理报批手续或先实施后补批，工程变更联系单现场记录不全、签复不完整；施工管理不到位等。</w:t>
            </w:r>
          </w:p>
        </w:tc>
        <w:tc>
          <w:tcPr>
            <w:tcW w:w="3659"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按照批准的设计文件进行施工建设，严格执行工程变更审批制度；加强对工程施工质量监督管理。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1183" w:type="dxa"/>
            <w:vMerge w:val="continue"/>
            <w:tcBorders>
              <w:top w:val="single" w:color="000000" w:sz="8" w:space="0"/>
              <w:left w:val="single" w:color="000000" w:sz="8" w:space="0"/>
              <w:bottom w:val="nil"/>
              <w:right w:val="nil"/>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86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24.项目竣工验收、结（决）算不及时</w:t>
            </w:r>
          </w:p>
        </w:tc>
        <w:tc>
          <w:tcPr>
            <w:tcW w:w="321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已完工项目未办理竣工验收、工程结算和竣工财务决算，未结转固定资产。</w:t>
            </w:r>
          </w:p>
        </w:tc>
        <w:tc>
          <w:tcPr>
            <w:tcW w:w="3659"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依照规定进行竣工验收， 验收合格后投入使用，及时做好工程结算和竣工财务决算相关工作。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183" w:type="dxa"/>
            <w:vMerge w:val="continue"/>
            <w:tcBorders>
              <w:top w:val="single" w:color="000000" w:sz="8" w:space="0"/>
              <w:left w:val="single" w:color="000000" w:sz="8" w:space="0"/>
              <w:bottom w:val="nil"/>
              <w:right w:val="nil"/>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86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25.项目档案管理欠规范</w:t>
            </w:r>
          </w:p>
        </w:tc>
        <w:tc>
          <w:tcPr>
            <w:tcW w:w="321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项目档案资料保管不全，部分缺失</w:t>
            </w:r>
          </w:p>
        </w:tc>
        <w:tc>
          <w:tcPr>
            <w:tcW w:w="3659"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明确项目档案资料保管责任人，做好档案资料交接，确保档案完整。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11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六、合同管理</w:t>
            </w:r>
          </w:p>
        </w:tc>
        <w:tc>
          <w:tcPr>
            <w:tcW w:w="1867" w:type="dxa"/>
            <w:tcBorders>
              <w:top w:val="single" w:color="000000" w:sz="8" w:space="0"/>
              <w:left w:val="nil"/>
              <w:bottom w:val="nil"/>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26.合同订立不规范</w:t>
            </w:r>
          </w:p>
        </w:tc>
        <w:tc>
          <w:tcPr>
            <w:tcW w:w="321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对合同条款、格式审核不严格，使单位面临诉讼的风险或造成经济利益损失。</w:t>
            </w:r>
          </w:p>
        </w:tc>
        <w:tc>
          <w:tcPr>
            <w:tcW w:w="3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建立合同管理内控制度；重大合同应聘请法律顾问和第三方技术专家审查合同条款，对重大合同实行会签制度；严格合同专用章保管。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867" w:type="dxa"/>
            <w:tcBorders>
              <w:top w:val="single" w:color="000000" w:sz="8" w:space="0"/>
              <w:left w:val="nil"/>
              <w:bottom w:val="nil"/>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27.合同履行及合同纠纷处理不恰当</w:t>
            </w:r>
          </w:p>
        </w:tc>
        <w:tc>
          <w:tcPr>
            <w:tcW w:w="321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1.不按合同约定的条款支付款项，不按规定的程序变更合同；</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2.出现合同纠纷处理不当，使得单位利益受损。</w:t>
            </w:r>
          </w:p>
        </w:tc>
        <w:tc>
          <w:tcPr>
            <w:tcW w:w="3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明确相关责任人在合同履行过程中的责任，按照条款履行合同，并监督合同对方履行合同义务。出现合同纠纷按规定程序办理。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1183" w:type="dxa"/>
            <w:vMerge w:val="restart"/>
            <w:tcBorders>
              <w:top w:val="nil"/>
              <w:left w:val="single" w:color="000000" w:sz="8"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七、继续教育合作办学</w:t>
            </w:r>
          </w:p>
        </w:tc>
        <w:tc>
          <w:tcPr>
            <w:tcW w:w="1867" w:type="dxa"/>
            <w:tcBorders>
              <w:top w:val="single" w:color="000000" w:sz="8" w:space="0"/>
              <w:left w:val="single" w:color="000000" w:sz="8" w:space="0"/>
              <w:bottom w:val="single" w:color="auto" w:sz="4" w:space="0"/>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28.对合作办学事项监管缺失</w:t>
            </w:r>
          </w:p>
        </w:tc>
        <w:tc>
          <w:tcPr>
            <w:tcW w:w="3217" w:type="dxa"/>
            <w:tcBorders>
              <w:top w:val="single" w:color="000000" w:sz="8" w:space="0"/>
              <w:left w:val="single" w:color="000000" w:sz="8" w:space="0"/>
              <w:bottom w:val="single" w:color="auto" w:sz="4" w:space="0"/>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由学院自行对外谈判决定成教培训合作事项，未经业务归口部门审核。</w:t>
            </w:r>
          </w:p>
        </w:tc>
        <w:tc>
          <w:tcPr>
            <w:tcW w:w="3659" w:type="dxa"/>
            <w:tcBorders>
              <w:top w:val="nil"/>
              <w:left w:val="single" w:color="000000" w:sz="8" w:space="0"/>
              <w:bottom w:val="single" w:color="auto" w:sz="4"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完善管理体系，明确业务归口管理部门与办学实施单位的职责分工，落实分级管理责任。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1183" w:type="dxa"/>
            <w:vMerge w:val="continue"/>
            <w:tcBorders>
              <w:top w:val="nil"/>
              <w:left w:val="single" w:color="000000" w:sz="8" w:space="0"/>
              <w:bottom w:val="nil"/>
              <w:right w:val="nil"/>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867" w:type="dxa"/>
            <w:tcBorders>
              <w:top w:val="single" w:color="auto" w:sz="4" w:space="0"/>
              <w:left w:val="single" w:color="000000" w:sz="8" w:space="0"/>
              <w:bottom w:val="nil"/>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29.办学收入未纳入财务统一管理</w:t>
            </w:r>
          </w:p>
        </w:tc>
        <w:tc>
          <w:tcPr>
            <w:tcW w:w="3217" w:type="dxa"/>
            <w:tcBorders>
              <w:top w:val="single" w:color="auto" w:sz="4" w:space="0"/>
              <w:left w:val="single" w:color="000000" w:sz="8" w:space="0"/>
              <w:bottom w:val="nil"/>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办学收入未经学校财务收取，或由培训合作方收取后上缴分成款。</w:t>
            </w:r>
          </w:p>
        </w:tc>
        <w:tc>
          <w:tcPr>
            <w:tcW w:w="3659" w:type="dxa"/>
            <w:vMerge w:val="restart"/>
            <w:tcBorders>
              <w:top w:val="single" w:color="auto" w:sz="4" w:space="0"/>
              <w:left w:val="single" w:color="000000" w:sz="8" w:space="0"/>
              <w:bottom w:val="nil"/>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办学收、支全部纳入学校财务统—管理。人员经费发放实行总额控制，按省、市相关政策标准执行。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183" w:type="dxa"/>
            <w:vMerge w:val="continue"/>
            <w:tcBorders>
              <w:top w:val="nil"/>
              <w:left w:val="single" w:color="000000" w:sz="8" w:space="0"/>
              <w:bottom w:val="nil"/>
              <w:right w:val="nil"/>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867"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30.违规使用办学收入</w:t>
            </w:r>
          </w:p>
        </w:tc>
        <w:tc>
          <w:tcPr>
            <w:tcW w:w="3217"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在绩效工资额度之外发放劳务、福利等。</w:t>
            </w:r>
          </w:p>
        </w:tc>
        <w:tc>
          <w:tcPr>
            <w:tcW w:w="3659" w:type="dxa"/>
            <w:vMerge w:val="continue"/>
            <w:tcBorders>
              <w:top w:val="single" w:color="000000" w:sz="8" w:space="0"/>
              <w:left w:val="single" w:color="000000" w:sz="8" w:space="0"/>
              <w:bottom w:val="nil"/>
              <w:right w:val="single" w:color="000000" w:sz="8" w:space="0"/>
            </w:tcBorders>
            <w:shd w:val="clear" w:color="auto" w:fill="FFFFFF"/>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1183" w:type="dxa"/>
            <w:vMerge w:val="restart"/>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八、学生利益政策 执行</w:t>
            </w:r>
          </w:p>
        </w:tc>
        <w:tc>
          <w:tcPr>
            <w:tcW w:w="186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31.助学政策执行不到位</w:t>
            </w:r>
          </w:p>
        </w:tc>
        <w:tc>
          <w:tcPr>
            <w:tcW w:w="321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助学经费提取不足、使用不当等。</w:t>
            </w:r>
          </w:p>
        </w:tc>
        <w:tc>
          <w:tcPr>
            <w:tcW w:w="3659"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从事业收入中按照规定标准提取专项经费用于资助家庭经济困难学生，并确保及时发放、专款专用。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183" w:type="dxa"/>
            <w:vMerge w:val="continue"/>
            <w:tcBorders>
              <w:top w:val="single" w:color="000000" w:sz="8" w:space="0"/>
              <w:left w:val="single" w:color="000000" w:sz="8" w:space="0"/>
              <w:bottom w:val="nil"/>
              <w:right w:val="nil"/>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867"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32.学生食堂伙食补贴不到位</w:t>
            </w:r>
          </w:p>
        </w:tc>
        <w:tc>
          <w:tcPr>
            <w:tcW w:w="3217"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学生食堂伙食补贴经费未足额拨付到食堂，间接影响学生利益。</w:t>
            </w:r>
          </w:p>
        </w:tc>
        <w:tc>
          <w:tcPr>
            <w:tcW w:w="36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临时伙食补贴应及时足额拨付到食堂，用于对高校学生食堂经营实体的补助，维护学生食堂价格稳定。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1183" w:type="dxa"/>
            <w:vMerge w:val="continue"/>
            <w:tcBorders>
              <w:top w:val="single" w:color="000000" w:sz="8" w:space="0"/>
              <w:left w:val="single" w:color="000000" w:sz="8" w:space="0"/>
              <w:bottom w:val="nil"/>
              <w:right w:val="nil"/>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86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33.收费政策执行不到位</w:t>
            </w:r>
          </w:p>
        </w:tc>
        <w:tc>
          <w:tcPr>
            <w:tcW w:w="321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1.在代管费中违规开支、代管费未按规定及时清退；</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2.多收转专业学生学费。</w:t>
            </w:r>
          </w:p>
        </w:tc>
        <w:tc>
          <w:tcPr>
            <w:tcW w:w="3659"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学校代收的费用，应在学期结束时，按实际支付的费用据实结算，多退少补。严格按照规定标准收取学生学费。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183" w:type="dxa"/>
            <w:vMerge w:val="restart"/>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九、绩效工资制度执行和兼职取酬</w:t>
            </w:r>
          </w:p>
        </w:tc>
        <w:tc>
          <w:tcPr>
            <w:tcW w:w="1867" w:type="dxa"/>
            <w:tcBorders>
              <w:top w:val="single" w:color="000000" w:sz="8" w:space="0"/>
              <w:left w:val="nil"/>
              <w:bottom w:val="single" w:color="auto" w:sz="4" w:space="0"/>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34,超总额、超标准发放绩效 工资</w:t>
            </w:r>
          </w:p>
        </w:tc>
        <w:tc>
          <w:tcPr>
            <w:tcW w:w="3217" w:type="dxa"/>
            <w:tcBorders>
              <w:top w:val="single" w:color="000000" w:sz="8" w:space="0"/>
              <w:left w:val="single" w:color="000000" w:sz="8" w:space="0"/>
              <w:bottom w:val="single" w:color="auto" w:sz="4" w:space="0"/>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绩效工资发放总额超过核定的绩效工资额度，或人均发放数超过核定标准。</w:t>
            </w:r>
          </w:p>
        </w:tc>
        <w:tc>
          <w:tcPr>
            <w:tcW w:w="3659" w:type="dxa"/>
            <w:tcBorders>
              <w:top w:val="single" w:color="000000" w:sz="8" w:space="0"/>
              <w:left w:val="single" w:color="000000" w:sz="8" w:space="0"/>
              <w:bottom w:val="single" w:color="auto" w:sz="4"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不违反规定提高待遇标准，不在国家收入分配政策以及工资列支渠道之外，直接或变相发放津贴、补贴和奖金。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1183" w:type="dxa"/>
            <w:vMerge w:val="continue"/>
            <w:tcBorders>
              <w:top w:val="single" w:color="000000" w:sz="8" w:space="0"/>
              <w:left w:val="single" w:color="000000" w:sz="8" w:space="0"/>
              <w:bottom w:val="nil"/>
              <w:right w:val="single" w:color="000000" w:sz="8"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1867" w:type="dxa"/>
            <w:tcBorders>
              <w:top w:val="single" w:color="auto" w:sz="4" w:space="0"/>
              <w:left w:val="nil"/>
              <w:bottom w:val="single" w:color="000000" w:sz="8" w:space="0"/>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35.违规兼职取酬</w:t>
            </w:r>
          </w:p>
        </w:tc>
        <w:tc>
          <w:tcPr>
            <w:tcW w:w="3217" w:type="dxa"/>
            <w:tcBorders>
              <w:top w:val="single" w:color="auto" w:sz="4" w:space="0"/>
              <w:left w:val="single" w:color="000000" w:sz="8" w:space="0"/>
              <w:bottom w:val="single" w:color="000000" w:sz="8" w:space="0"/>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未经批准到社会团体、民办非企业单位和企业兼任职务及领取薪酬。</w:t>
            </w:r>
          </w:p>
        </w:tc>
        <w:tc>
          <w:tcPr>
            <w:tcW w:w="3659" w:type="dxa"/>
            <w:tcBorders>
              <w:top w:val="single" w:color="auto" w:sz="4"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加强兼职管理，经批准兼职的内设机构领导人员在兼职单位获得的报酬，应当全额上缴学校，由学校根据实际情况给予适当奖励。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11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十、对下属单位监督管理</w:t>
            </w:r>
          </w:p>
        </w:tc>
        <w:tc>
          <w:tcPr>
            <w:tcW w:w="1867" w:type="dxa"/>
            <w:tcBorders>
              <w:top w:val="single" w:color="000000" w:sz="8" w:space="0"/>
              <w:left w:val="nil"/>
              <w:bottom w:val="nil"/>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36.向下属单位转移费用支出</w:t>
            </w:r>
          </w:p>
        </w:tc>
        <w:tc>
          <w:tcPr>
            <w:tcW w:w="321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在下属单位列支学校在职人员工资、津贴补贴，以及学校车辆运行费等。</w:t>
            </w:r>
          </w:p>
        </w:tc>
        <w:tc>
          <w:tcPr>
            <w:tcW w:w="3659"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严格控制经费支出，不向下属单位转移费用。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867" w:type="dxa"/>
            <w:tcBorders>
              <w:top w:val="single" w:color="000000" w:sz="8" w:space="0"/>
              <w:left w:val="nil"/>
              <w:bottom w:val="nil"/>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37.资产经营公司未有效发挥"防火墙”作用</w:t>
            </w:r>
          </w:p>
        </w:tc>
        <w:tc>
          <w:tcPr>
            <w:tcW w:w="3217"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未将经营性资产统一划归资产经营公司管理。</w:t>
            </w:r>
          </w:p>
        </w:tc>
        <w:tc>
          <w:tcPr>
            <w:tcW w:w="3659"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由资产经营公司负责学校委托的经营性资产的经营和管理，代表学校出资组建经营性子公司，理顺产权关系，在学校与企业之间设立“防火墙”。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867" w:type="dxa"/>
            <w:tcBorders>
              <w:top w:val="single" w:color="000000" w:sz="8" w:space="0"/>
              <w:left w:val="nil"/>
              <w:bottom w:val="single" w:color="000000" w:sz="8" w:space="0"/>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38.对下属公司监管不严</w:t>
            </w:r>
          </w:p>
        </w:tc>
        <w:tc>
          <w:tcPr>
            <w:tcW w:w="3217"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下属公司在经营中存在违规问题。</w:t>
            </w:r>
          </w:p>
        </w:tc>
        <w:tc>
          <w:tcPr>
            <w:tcW w:w="36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完善制度，加强对下属公司的目标责任考核和日常监督管理。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1183" w:type="dxa"/>
            <w:vMerge w:val="restart"/>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十一、内部制度建设及执行</w:t>
            </w:r>
          </w:p>
        </w:tc>
        <w:tc>
          <w:tcPr>
            <w:tcW w:w="18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39.内控机制不健全</w:t>
            </w:r>
          </w:p>
        </w:tc>
        <w:tc>
          <w:tcPr>
            <w:tcW w:w="32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1.经济活动的决策、管理、执行、 监督没有实现有效分离；</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2.内部授权审批控制不清晰；</w:t>
            </w:r>
          </w:p>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3.岗位设置不合理，不相容岗位分工没有落实到位，岗位责任不清晰；</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4.内部控制关键岗位培训、轮岗不够重视。</w:t>
            </w:r>
          </w:p>
        </w:tc>
        <w:tc>
          <w:tcPr>
            <w:tcW w:w="3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坚持民主集中制原则，严格落实“三重一大”等制度要求，建立健全集体研究、专家论证和技术咨询相结合的议事决策机制；明确各岗位办理业务和事项的权限范围、审批程序和相关责任；合理设置关键岗位，明确划分职责权限，实施相应的分离措施，形成相互制约、相互监督的工作机制；加强内部控制关键岗位工作人员业务培训和职业道德教育，实行轮岗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183" w:type="dxa"/>
            <w:vMerge w:val="continue"/>
            <w:tcBorders>
              <w:top w:val="nil"/>
              <w:left w:val="single" w:color="000000" w:sz="8" w:space="0"/>
              <w:bottom w:val="single" w:color="000000" w:sz="8" w:space="0"/>
              <w:right w:val="nil"/>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867"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40.内部制度执行不到位</w:t>
            </w:r>
          </w:p>
        </w:tc>
        <w:tc>
          <w:tcPr>
            <w:tcW w:w="3217"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未按规定的内控制度执行，操作行为与制度规定不符。</w:t>
            </w:r>
          </w:p>
        </w:tc>
        <w:tc>
          <w:tcPr>
            <w:tcW w:w="3659" w:type="dxa"/>
            <w:tcBorders>
              <w:top w:val="nil"/>
              <w:left w:val="single" w:color="000000" w:sz="8" w:space="0"/>
              <w:bottom w:val="nil"/>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规范单位内部管理，严格执行内控制度。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1183" w:type="dxa"/>
            <w:vMerge w:val="continue"/>
            <w:tcBorders>
              <w:top w:val="nil"/>
              <w:left w:val="single" w:color="000000" w:sz="8" w:space="0"/>
              <w:bottom w:val="single" w:color="000000" w:sz="8" w:space="0"/>
              <w:right w:val="nil"/>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867"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41.内部控制评价与监督不到位</w:t>
            </w:r>
          </w:p>
        </w:tc>
        <w:tc>
          <w:tcPr>
            <w:tcW w:w="3217" w:type="dxa"/>
            <w:tcBorders>
              <w:top w:val="nil"/>
              <w:left w:val="single" w:color="000000" w:sz="8" w:space="0"/>
              <w:bottom w:val="single" w:color="000000" w:sz="8" w:space="0"/>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内部监督管理制度不完善；内部监督工作未正常开展。</w:t>
            </w:r>
          </w:p>
        </w:tc>
        <w:tc>
          <w:tcPr>
            <w:tcW w:w="3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完善内部监督管理制度；对内部控制的建立和执行情况及有效性进行监督检查和评价，督促相关部门落实内部控制的整改措施。</w:t>
            </w:r>
          </w:p>
        </w:tc>
      </w:tr>
    </w:tbl>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0E17C2"/>
    <w:rsid w:val="0C0F067F"/>
    <w:rsid w:val="0FDB1112"/>
    <w:rsid w:val="1F1441A5"/>
    <w:rsid w:val="21063D3D"/>
    <w:rsid w:val="26B041FB"/>
    <w:rsid w:val="38997BC6"/>
    <w:rsid w:val="39303F8A"/>
    <w:rsid w:val="3F857444"/>
    <w:rsid w:val="4AB32D03"/>
    <w:rsid w:val="4C687B40"/>
    <w:rsid w:val="4E91057D"/>
    <w:rsid w:val="4EE00DD8"/>
    <w:rsid w:val="541B505D"/>
    <w:rsid w:val="5498733D"/>
    <w:rsid w:val="54D42D08"/>
    <w:rsid w:val="568E5B4D"/>
    <w:rsid w:val="675365B0"/>
    <w:rsid w:val="6D735B9A"/>
    <w:rsid w:val="75FB149C"/>
    <w:rsid w:val="7D731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Heading #1|1"/>
    <w:basedOn w:val="1"/>
    <w:qFormat/>
    <w:uiPriority w:val="0"/>
    <w:pPr>
      <w:widowControl w:val="0"/>
      <w:shd w:val="clear" w:color="auto" w:fill="auto"/>
      <w:spacing w:after="520"/>
      <w:jc w:val="center"/>
      <w:outlineLvl w:val="0"/>
    </w:pPr>
    <w:rPr>
      <w:rFonts w:ascii="宋体" w:hAnsi="宋体" w:eastAsia="宋体" w:cs="宋体"/>
      <w:sz w:val="36"/>
      <w:szCs w:val="36"/>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2021-11-03T07:38:00Z</dcterms:created>
  <dc:creator>sy</dc:creator>
  <cp:lastModifiedBy>邱升齐</cp:lastModifiedBy>
  <cp:lastPrinted>2021-11-03T07:43:00Z</cp:lastPrinted>
  <dcterms:modified xsi:type="dcterms:W3CDTF">2021-12-24T01:39:27Z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2FC7AD81C54845DF8679B5DABC1AD8B8</vt:lpwstr>
  </property>
</Properties>
</file>